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42" w:rsidRDefault="00B34742" w:rsidP="008F24A3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345C90" w:rsidRDefault="00475DFD" w:rsidP="008F24A3">
      <w:pPr>
        <w:jc w:val="center"/>
        <w:rPr>
          <w:rFonts w:ascii="Arial Black" w:hAnsi="Arial Black"/>
          <w:sz w:val="26"/>
          <w:szCs w:val="26"/>
        </w:rPr>
      </w:pPr>
      <w:r w:rsidRPr="009C2A9B">
        <w:rPr>
          <w:rFonts w:ascii="Arial Black" w:hAnsi="Arial Black"/>
          <w:sz w:val="26"/>
          <w:szCs w:val="26"/>
        </w:rPr>
        <w:t xml:space="preserve">Approved Standard Installation Drawings </w:t>
      </w:r>
      <w:r w:rsidR="009C2A9B" w:rsidRPr="009C2A9B">
        <w:rPr>
          <w:rFonts w:ascii="Arial Black" w:hAnsi="Arial Black"/>
          <w:sz w:val="26"/>
          <w:szCs w:val="26"/>
        </w:rPr>
        <w:t>&amp;</w:t>
      </w:r>
      <w:r w:rsidRPr="009C2A9B">
        <w:rPr>
          <w:rFonts w:ascii="Arial Black" w:hAnsi="Arial Black"/>
          <w:sz w:val="26"/>
          <w:szCs w:val="26"/>
        </w:rPr>
        <w:t xml:space="preserve"> Specifications</w:t>
      </w:r>
      <w:r w:rsidR="009C2A9B" w:rsidRPr="009C2A9B">
        <w:rPr>
          <w:rFonts w:ascii="Arial Black" w:hAnsi="Arial Black"/>
          <w:sz w:val="26"/>
          <w:szCs w:val="26"/>
        </w:rPr>
        <w:t xml:space="preserve"> (New) versus Plan Submittal Waiver (Old)</w:t>
      </w:r>
    </w:p>
    <w:p w:rsidR="009C2A9B" w:rsidRPr="009C2A9B" w:rsidRDefault="009C2A9B" w:rsidP="008F24A3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TableGrid"/>
        <w:tblpPr w:leftFromText="180" w:rightFromText="180" w:vertAnchor="text" w:tblpY="81"/>
        <w:tblW w:w="9660" w:type="dxa"/>
        <w:tblLayout w:type="fixed"/>
        <w:tblLook w:val="04A0" w:firstRow="1" w:lastRow="0" w:firstColumn="1" w:lastColumn="0" w:noHBand="0" w:noVBand="1"/>
      </w:tblPr>
      <w:tblGrid>
        <w:gridCol w:w="378"/>
        <w:gridCol w:w="4950"/>
        <w:gridCol w:w="4332"/>
      </w:tblGrid>
      <w:tr w:rsidR="009C2A9B" w:rsidTr="009C2A9B">
        <w:tc>
          <w:tcPr>
            <w:tcW w:w="378" w:type="dxa"/>
            <w:shd w:val="clear" w:color="auto" w:fill="D9D9D9" w:themeFill="background1" w:themeFillShade="D9"/>
            <w:vAlign w:val="center"/>
          </w:tcPr>
          <w:p w:rsidR="009C2A9B" w:rsidRDefault="009C2A9B" w:rsidP="009C2A9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9C2A9B" w:rsidRPr="009C2A9B" w:rsidRDefault="009C2A9B" w:rsidP="009C2A9B">
            <w:pPr>
              <w:jc w:val="center"/>
              <w:rPr>
                <w:rFonts w:ascii="Arial" w:hAnsi="Arial" w:cs="Arial"/>
                <w:b/>
              </w:rPr>
            </w:pPr>
            <w:r w:rsidRPr="009C2A9B">
              <w:rPr>
                <w:rFonts w:ascii="Arial" w:hAnsi="Arial" w:cs="Arial"/>
                <w:b/>
              </w:rPr>
              <w:t>Approved Standard Installation Drawings and Specifications for Water Lines</w:t>
            </w:r>
          </w:p>
          <w:p w:rsidR="009C2A9B" w:rsidRPr="009C2A9B" w:rsidRDefault="009C2A9B" w:rsidP="009C2A9B">
            <w:pPr>
              <w:jc w:val="center"/>
              <w:rPr>
                <w:rFonts w:ascii="Arial" w:hAnsi="Arial" w:cs="Arial"/>
              </w:rPr>
            </w:pPr>
            <w:r w:rsidRPr="009C2A9B">
              <w:rPr>
                <w:rFonts w:ascii="Arial" w:hAnsi="Arial" w:cs="Arial"/>
              </w:rPr>
              <w:t>[Rule R309-500-7, Effective 11/7/2017]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:rsidR="009C2A9B" w:rsidRPr="009C2A9B" w:rsidRDefault="009C2A9B" w:rsidP="009C2A9B">
            <w:pPr>
              <w:jc w:val="center"/>
              <w:rPr>
                <w:rFonts w:ascii="Arial" w:hAnsi="Arial" w:cs="Arial"/>
                <w:b/>
              </w:rPr>
            </w:pPr>
            <w:r w:rsidRPr="009C2A9B">
              <w:rPr>
                <w:rFonts w:ascii="Arial" w:hAnsi="Arial" w:cs="Arial"/>
                <w:b/>
              </w:rPr>
              <w:t>Plan Submittal Waiver</w:t>
            </w:r>
          </w:p>
          <w:p w:rsidR="009C2A9B" w:rsidRPr="009C2A9B" w:rsidRDefault="009C2A9B" w:rsidP="009C2A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2A9B">
              <w:rPr>
                <w:rFonts w:ascii="Arial" w:hAnsi="Arial" w:cs="Arial"/>
              </w:rPr>
              <w:t>[Expired on 11/7/2017]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1</w:t>
            </w:r>
          </w:p>
        </w:tc>
        <w:tc>
          <w:tcPr>
            <w:tcW w:w="4950" w:type="dxa"/>
            <w:vAlign w:val="center"/>
          </w:tcPr>
          <w:p w:rsidR="009C2A9B" w:rsidRPr="00CE3B5A" w:rsidRDefault="009C2A9B" w:rsidP="009C2A9B">
            <w:pPr>
              <w:rPr>
                <w:b/>
              </w:rPr>
            </w:pPr>
            <w:r w:rsidRPr="002408E7">
              <w:t xml:space="preserve">A </w:t>
            </w:r>
            <w:r w:rsidRPr="002408E7">
              <w:rPr>
                <w:b/>
              </w:rPr>
              <w:t>single</w:t>
            </w:r>
            <w:r w:rsidRPr="002408E7">
              <w:t xml:space="preserve"> </w:t>
            </w:r>
            <w:r>
              <w:t>approval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r w:rsidRPr="00CF5FEA">
              <w:t xml:space="preserve">Two </w:t>
            </w:r>
            <w:r w:rsidRPr="002408E7">
              <w:t>waiver types (3)(a) &amp; (3)(b)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2</w:t>
            </w:r>
          </w:p>
        </w:tc>
        <w:tc>
          <w:tcPr>
            <w:tcW w:w="4950" w:type="dxa"/>
            <w:vAlign w:val="center"/>
          </w:tcPr>
          <w:p w:rsidR="009C2A9B" w:rsidRDefault="009C2A9B" w:rsidP="009C2A9B">
            <w:r w:rsidRPr="002408E7">
              <w:t xml:space="preserve">Master Plan-based </w:t>
            </w:r>
            <w:r>
              <w:t>approval</w:t>
            </w:r>
            <w:r w:rsidRPr="002408E7">
              <w:t xml:space="preserve"> </w:t>
            </w:r>
            <w:r w:rsidRPr="00CE3B5A">
              <w:rPr>
                <w:b/>
              </w:rPr>
              <w:t>unavailable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r>
              <w:t>(3)(a) Master Plan-based waiver</w:t>
            </w:r>
            <w:r w:rsidRPr="002408E7">
              <w:t xml:space="preserve"> </w:t>
            </w:r>
            <w:r w:rsidRPr="00CF5FEA">
              <w:t>available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3</w:t>
            </w:r>
          </w:p>
        </w:tc>
        <w:tc>
          <w:tcPr>
            <w:tcW w:w="4950" w:type="dxa"/>
            <w:vAlign w:val="center"/>
          </w:tcPr>
          <w:p w:rsidR="009C2A9B" w:rsidRDefault="009C2A9B" w:rsidP="00CF5FEA">
            <w:r>
              <w:t>Diameter of water lines eligible</w:t>
            </w:r>
            <w:r w:rsidRPr="002408E7">
              <w:rPr>
                <w:b/>
              </w:rPr>
              <w:t xml:space="preserve"> </w:t>
            </w:r>
            <w:r>
              <w:t>(≤16”)</w:t>
            </w:r>
            <w:r w:rsidRPr="002408E7">
              <w:rPr>
                <w:b/>
              </w:rPr>
              <w:t xml:space="preserve"> </w:t>
            </w:r>
            <w:r w:rsidR="00CF5FEA">
              <w:rPr>
                <w:b/>
              </w:rPr>
              <w:t xml:space="preserve">regardless </w:t>
            </w:r>
            <w:r w:rsidRPr="002408E7">
              <w:rPr>
                <w:b/>
              </w:rPr>
              <w:t xml:space="preserve">population </w:t>
            </w:r>
            <w:r w:rsidR="00CF5FEA">
              <w:rPr>
                <w:b/>
              </w:rPr>
              <w:t>served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r>
              <w:t xml:space="preserve">(3)(b) Diameter of water lines eligible for </w:t>
            </w:r>
            <w:r w:rsidRPr="00CF5FEA">
              <w:t>waivers based on population served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4</w:t>
            </w:r>
          </w:p>
        </w:tc>
        <w:tc>
          <w:tcPr>
            <w:tcW w:w="4950" w:type="dxa"/>
            <w:vAlign w:val="center"/>
          </w:tcPr>
          <w:p w:rsidR="009C2A9B" w:rsidRPr="002408E7" w:rsidRDefault="009C2A9B" w:rsidP="009C2A9B">
            <w:r>
              <w:t>PWS must submit application for approved Standard Installation Drawings and Specs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r w:rsidRPr="002408E7">
              <w:t>PWS must obtain waiver eligibility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5</w:t>
            </w:r>
          </w:p>
        </w:tc>
        <w:tc>
          <w:tcPr>
            <w:tcW w:w="4950" w:type="dxa"/>
            <w:vAlign w:val="center"/>
          </w:tcPr>
          <w:p w:rsidR="009C2A9B" w:rsidRPr="00CE3B5A" w:rsidRDefault="009C2A9B" w:rsidP="00CF5FEA">
            <w:pPr>
              <w:rPr>
                <w:b/>
              </w:rPr>
            </w:pPr>
            <w:r>
              <w:rPr>
                <w:b/>
              </w:rPr>
              <w:t>Approval</w:t>
            </w:r>
            <w:r w:rsidRPr="002408E7">
              <w:rPr>
                <w:b/>
              </w:rPr>
              <w:t xml:space="preserve"> must be renewed every 5 years</w:t>
            </w:r>
            <w:r w:rsidRPr="002408E7">
              <w:t xml:space="preserve"> </w:t>
            </w:r>
            <w:r w:rsidR="00CF5FEA">
              <w:t>(</w:t>
            </w:r>
            <w:r w:rsidRPr="002408E7">
              <w:t>or whenever standard drawings and specs change</w:t>
            </w:r>
            <w:r w:rsidR="00CF5FEA">
              <w:t>)</w:t>
            </w:r>
          </w:p>
        </w:tc>
        <w:tc>
          <w:tcPr>
            <w:tcW w:w="4332" w:type="dxa"/>
            <w:vAlign w:val="center"/>
          </w:tcPr>
          <w:p w:rsidR="009C2A9B" w:rsidRPr="00CF5FEA" w:rsidRDefault="009C2A9B" w:rsidP="009C2A9B">
            <w:r w:rsidRPr="00CF5FEA">
              <w:t>Waiver eligibility does not expire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6</w:t>
            </w:r>
          </w:p>
        </w:tc>
        <w:tc>
          <w:tcPr>
            <w:tcW w:w="4950" w:type="dxa"/>
            <w:vAlign w:val="center"/>
          </w:tcPr>
          <w:p w:rsidR="009C2A9B" w:rsidRPr="002408E7" w:rsidRDefault="009C2A9B" w:rsidP="009C2A9B">
            <w:pPr>
              <w:rPr>
                <w:b/>
              </w:rPr>
            </w:pPr>
            <w:r w:rsidRPr="002408E7">
              <w:rPr>
                <w:b/>
              </w:rPr>
              <w:t xml:space="preserve">Required for </w:t>
            </w:r>
            <w:r>
              <w:rPr>
                <w:b/>
              </w:rPr>
              <w:t>approval</w:t>
            </w:r>
            <w:r w:rsidRPr="002408E7">
              <w:rPr>
                <w:b/>
              </w:rPr>
              <w:t>:</w:t>
            </w:r>
          </w:p>
          <w:p w:rsidR="009C2A9B" w:rsidRPr="002408E7" w:rsidRDefault="009C2A9B" w:rsidP="009C2A9B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A</w:t>
            </w:r>
            <w:r w:rsidRPr="00CE3B5A">
              <w:rPr>
                <w:b/>
              </w:rPr>
              <w:t>pplication form</w:t>
            </w:r>
            <w:r w:rsidR="00CF5FEA">
              <w:t xml:space="preserve"> (available from DDW)</w:t>
            </w:r>
          </w:p>
          <w:p w:rsidR="009C2A9B" w:rsidRPr="002408E7" w:rsidRDefault="009C2A9B" w:rsidP="009C2A9B">
            <w:pPr>
              <w:pStyle w:val="ListParagraph"/>
              <w:numPr>
                <w:ilvl w:val="0"/>
                <w:numId w:val="3"/>
              </w:numPr>
            </w:pPr>
            <w:r w:rsidRPr="002408E7">
              <w:t xml:space="preserve">Standard installation drawings and specs </w:t>
            </w:r>
            <w:r w:rsidRPr="00CE3B5A">
              <w:rPr>
                <w:b/>
              </w:rPr>
              <w:t>(with effective date)</w:t>
            </w:r>
            <w:r w:rsidRPr="002408E7">
              <w:t xml:space="preserve"> meeting R309-550 requirements</w:t>
            </w:r>
          </w:p>
          <w:p w:rsidR="009C2A9B" w:rsidRPr="002408E7" w:rsidRDefault="009C2A9B" w:rsidP="009C2A9B">
            <w:pPr>
              <w:pStyle w:val="ListParagraph"/>
              <w:numPr>
                <w:ilvl w:val="0"/>
                <w:numId w:val="3"/>
              </w:numPr>
            </w:pPr>
            <w:r w:rsidRPr="002408E7">
              <w:t>PE designation for system design by PWS</w:t>
            </w:r>
            <w:r>
              <w:t xml:space="preserve"> (notify DDW of change</w:t>
            </w:r>
            <w:r w:rsidRPr="002408E7">
              <w:t>)</w:t>
            </w:r>
          </w:p>
          <w:p w:rsidR="009C2A9B" w:rsidRPr="002408E7" w:rsidRDefault="009C2A9B" w:rsidP="009C2A9B">
            <w:pPr>
              <w:pStyle w:val="ListParagraph"/>
              <w:numPr>
                <w:ilvl w:val="0"/>
                <w:numId w:val="3"/>
              </w:numPr>
            </w:pPr>
            <w:r w:rsidRPr="002408E7">
              <w:t>PE designation for hydraulic analysis by PWS</w:t>
            </w:r>
            <w:r>
              <w:t xml:space="preserve"> (notify DDW of change</w:t>
            </w:r>
            <w:r w:rsidRPr="002408E7">
              <w:t>)</w:t>
            </w:r>
          </w:p>
          <w:p w:rsidR="009C2A9B" w:rsidRPr="002408E7" w:rsidRDefault="009C2A9B" w:rsidP="00CF5FEA">
            <w:pPr>
              <w:rPr>
                <w:b/>
              </w:rPr>
            </w:pPr>
            <w:r>
              <w:t>Statement acknowledging:</w:t>
            </w:r>
            <w:r w:rsidRPr="002408E7">
              <w:t xml:space="preserve"> (1) hydraulic analysis and (2) flushing, disinfection, coliform sampling, as-built drawings </w:t>
            </w:r>
            <w:r w:rsidRPr="002408E7">
              <w:rPr>
                <w:b/>
              </w:rPr>
              <w:t>with application</w:t>
            </w:r>
            <w:r>
              <w:rPr>
                <w:b/>
              </w:rPr>
              <w:t xml:space="preserve"> only</w:t>
            </w:r>
          </w:p>
        </w:tc>
        <w:tc>
          <w:tcPr>
            <w:tcW w:w="4332" w:type="dxa"/>
            <w:vAlign w:val="center"/>
          </w:tcPr>
          <w:p w:rsidR="009C2A9B" w:rsidRPr="00CF5FEA" w:rsidRDefault="009C2A9B" w:rsidP="009C2A9B">
            <w:r w:rsidRPr="00CF5FEA">
              <w:t>Required for waiver eligibility:</w:t>
            </w:r>
          </w:p>
          <w:p w:rsidR="009C2A9B" w:rsidRPr="002408E7" w:rsidRDefault="009C2A9B" w:rsidP="009C2A9B">
            <w:pPr>
              <w:pStyle w:val="ListParagraph"/>
              <w:numPr>
                <w:ilvl w:val="0"/>
                <w:numId w:val="2"/>
              </w:numPr>
            </w:pPr>
            <w:r w:rsidRPr="00CF5FEA">
              <w:t xml:space="preserve">Letter </w:t>
            </w:r>
            <w:r w:rsidRPr="002408E7">
              <w:t>requesting eligibility</w:t>
            </w:r>
          </w:p>
          <w:p w:rsidR="009C2A9B" w:rsidRPr="002408E7" w:rsidRDefault="009C2A9B" w:rsidP="009C2A9B">
            <w:pPr>
              <w:pStyle w:val="ListParagraph"/>
              <w:numPr>
                <w:ilvl w:val="0"/>
                <w:numId w:val="2"/>
              </w:numPr>
            </w:pPr>
            <w:r w:rsidRPr="00CE3B5A">
              <w:t>Standard installa</w:t>
            </w:r>
            <w:r>
              <w:t xml:space="preserve">tion drawings and specs </w:t>
            </w:r>
            <w:r w:rsidR="00CF5FEA">
              <w:t>meeting R309-550</w:t>
            </w:r>
          </w:p>
          <w:p w:rsidR="009C2A9B" w:rsidRPr="002408E7" w:rsidRDefault="009C2A9B" w:rsidP="009C2A9B">
            <w:pPr>
              <w:pStyle w:val="ListParagraph"/>
              <w:numPr>
                <w:ilvl w:val="0"/>
                <w:numId w:val="2"/>
              </w:numPr>
            </w:pPr>
            <w:r w:rsidRPr="002408E7">
              <w:t>PE design</w:t>
            </w:r>
            <w:r>
              <w:t>ation for system design by PWS</w:t>
            </w:r>
            <w:r w:rsidRPr="002408E7">
              <w:t xml:space="preserve"> </w:t>
            </w:r>
            <w:r w:rsidR="00CF5FEA">
              <w:t>[</w:t>
            </w:r>
            <w:r w:rsidRPr="002408E7">
              <w:t>(3)(b)</w:t>
            </w:r>
            <w:r w:rsidR="00CF5FEA">
              <w:t>]</w:t>
            </w:r>
          </w:p>
          <w:p w:rsidR="009C2A9B" w:rsidRPr="002408E7" w:rsidRDefault="009C2A9B" w:rsidP="009C2A9B">
            <w:pPr>
              <w:pStyle w:val="ListParagraph"/>
              <w:numPr>
                <w:ilvl w:val="0"/>
                <w:numId w:val="2"/>
              </w:numPr>
            </w:pPr>
            <w:r w:rsidRPr="002408E7">
              <w:t xml:space="preserve">PE designation for hydraulic analysis by PWS </w:t>
            </w:r>
            <w:r w:rsidR="00CF5FEA">
              <w:t>[</w:t>
            </w:r>
            <w:r w:rsidRPr="002408E7">
              <w:t>(3)(b)</w:t>
            </w:r>
            <w:r w:rsidR="00CF5FEA">
              <w:t>]</w:t>
            </w:r>
          </w:p>
          <w:p w:rsidR="009C2A9B" w:rsidRPr="00CE3B5A" w:rsidRDefault="009C2A9B" w:rsidP="00CF5FEA">
            <w:pPr>
              <w:rPr>
                <w:b/>
              </w:rPr>
            </w:pPr>
            <w:r>
              <w:t>C</w:t>
            </w:r>
            <w:r w:rsidRPr="002408E7">
              <w:t>ertification by designated PEs for (1) hydraulic analysis and (2) flushing, disinfection, coliform sampling, as-built</w:t>
            </w:r>
            <w:r w:rsidR="00CF5FEA">
              <w:t xml:space="preserve"> </w:t>
            </w:r>
            <w:r w:rsidRPr="002408E7">
              <w:t xml:space="preserve">drawings </w:t>
            </w:r>
            <w:r w:rsidRPr="00CF5FEA">
              <w:t>for each waiver</w:t>
            </w:r>
            <w:r w:rsidR="00CF5FEA">
              <w:t xml:space="preserve"> request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7</w:t>
            </w:r>
          </w:p>
        </w:tc>
        <w:tc>
          <w:tcPr>
            <w:tcW w:w="4950" w:type="dxa"/>
            <w:vAlign w:val="center"/>
          </w:tcPr>
          <w:p w:rsidR="009C2A9B" w:rsidRPr="002408E7" w:rsidRDefault="00CF5FEA" w:rsidP="009C2A9B">
            <w:pPr>
              <w:pStyle w:val="ListParagraph"/>
              <w:ind w:left="0"/>
            </w:pPr>
            <w:r w:rsidRPr="00CF5FEA">
              <w:t>Project Notification Form (</w:t>
            </w:r>
            <w:r w:rsidR="009C2A9B" w:rsidRPr="00CF5FEA">
              <w:t>PNF</w:t>
            </w:r>
            <w:r w:rsidRPr="00CF5FEA">
              <w:t>)</w:t>
            </w:r>
            <w:r w:rsidR="009C2A9B" w:rsidRPr="00CF5FEA">
              <w:t xml:space="preserve"> and waiver request</w:t>
            </w:r>
            <w:r w:rsidR="009C2A9B" w:rsidRPr="002408E7">
              <w:rPr>
                <w:b/>
              </w:rPr>
              <w:t xml:space="preserve"> not required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pPr>
              <w:pStyle w:val="ListParagraph"/>
              <w:ind w:left="0"/>
            </w:pPr>
            <w:r w:rsidRPr="002408E7">
              <w:t xml:space="preserve">Submit </w:t>
            </w:r>
            <w:r w:rsidRPr="00CF5FEA">
              <w:t xml:space="preserve">PNF </w:t>
            </w:r>
            <w:r w:rsidRPr="002408E7">
              <w:t>with each waiver request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8</w:t>
            </w:r>
          </w:p>
        </w:tc>
        <w:tc>
          <w:tcPr>
            <w:tcW w:w="4950" w:type="dxa"/>
            <w:vAlign w:val="center"/>
          </w:tcPr>
          <w:p w:rsidR="009C2A9B" w:rsidRPr="00CE3B5A" w:rsidRDefault="009C2A9B" w:rsidP="009C2A9B">
            <w:r w:rsidRPr="002408E7">
              <w:rPr>
                <w:b/>
              </w:rPr>
              <w:t>Not required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r w:rsidRPr="00CE3B5A">
              <w:t>Obtain waiver</w:t>
            </w:r>
            <w:r w:rsidRPr="002408E7">
              <w:t xml:space="preserve"> </w:t>
            </w:r>
            <w:r w:rsidRPr="00CF5FEA">
              <w:t>for each water line project</w:t>
            </w:r>
            <w:r w:rsidRPr="002408E7">
              <w:t xml:space="preserve"> prior to construction (3a &amp; 3b)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9</w:t>
            </w:r>
          </w:p>
        </w:tc>
        <w:tc>
          <w:tcPr>
            <w:tcW w:w="4950" w:type="dxa"/>
            <w:vAlign w:val="center"/>
          </w:tcPr>
          <w:p w:rsidR="009C2A9B" w:rsidRPr="00CE3B5A" w:rsidRDefault="009C2A9B" w:rsidP="009C2A9B">
            <w:r w:rsidRPr="002408E7">
              <w:rPr>
                <w:b/>
              </w:rPr>
              <w:t>Not required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CF5FEA">
            <w:r w:rsidRPr="00CE3B5A">
              <w:t xml:space="preserve">May </w:t>
            </w:r>
            <w:r w:rsidRPr="00CF5FEA">
              <w:t xml:space="preserve">obtain year-end </w:t>
            </w:r>
            <w:r w:rsidR="00CF5FEA" w:rsidRPr="00CF5FEA">
              <w:t xml:space="preserve">after-the-fact </w:t>
            </w:r>
            <w:r w:rsidRPr="00CF5FEA">
              <w:t xml:space="preserve">waiver </w:t>
            </w:r>
            <w:r w:rsidRPr="002408E7">
              <w:t>for multiple water line projects (3b)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10</w:t>
            </w:r>
          </w:p>
        </w:tc>
        <w:tc>
          <w:tcPr>
            <w:tcW w:w="4950" w:type="dxa"/>
            <w:vAlign w:val="center"/>
          </w:tcPr>
          <w:p w:rsidR="009C2A9B" w:rsidRPr="002408E7" w:rsidRDefault="009C2A9B" w:rsidP="009C2A9B">
            <w:pPr>
              <w:rPr>
                <w:b/>
              </w:rPr>
            </w:pPr>
            <w:r w:rsidRPr="002408E7">
              <w:rPr>
                <w:b/>
              </w:rPr>
              <w:t>Not required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r w:rsidRPr="00CF5FEA">
              <w:t>Maintain a tracking sheet</w:t>
            </w:r>
            <w:r w:rsidRPr="002408E7">
              <w:t xml:space="preserve"> for year-end, after-the-fact waivers (3)(b)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11</w:t>
            </w:r>
          </w:p>
        </w:tc>
        <w:tc>
          <w:tcPr>
            <w:tcW w:w="4950" w:type="dxa"/>
            <w:vAlign w:val="center"/>
          </w:tcPr>
          <w:p w:rsidR="009C2A9B" w:rsidRDefault="009C2A9B" w:rsidP="009C2A9B">
            <w:pPr>
              <w:rPr>
                <w:b/>
              </w:rPr>
            </w:pPr>
            <w:r w:rsidRPr="002408E7">
              <w:t>(Same)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r>
              <w:rPr>
                <w:b/>
              </w:rPr>
              <w:t>P</w:t>
            </w:r>
            <w:r w:rsidRPr="00CE3B5A">
              <w:rPr>
                <w:b/>
              </w:rPr>
              <w:t>ump stations ineligible</w:t>
            </w:r>
            <w:r w:rsidRPr="002408E7">
              <w:t xml:space="preserve"> for waivers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12</w:t>
            </w:r>
          </w:p>
        </w:tc>
        <w:tc>
          <w:tcPr>
            <w:tcW w:w="4950" w:type="dxa"/>
            <w:vAlign w:val="center"/>
          </w:tcPr>
          <w:p w:rsidR="009C2A9B" w:rsidRPr="002408E7" w:rsidRDefault="009C2A9B" w:rsidP="009C2A9B">
            <w:r w:rsidRPr="002408E7">
              <w:t>(Same)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r w:rsidRPr="002408E7">
              <w:t xml:space="preserve">Water </w:t>
            </w:r>
            <w:r w:rsidRPr="00CE3B5A">
              <w:rPr>
                <w:b/>
              </w:rPr>
              <w:t>lines &gt;16” ineligible</w:t>
            </w:r>
            <w:r w:rsidRPr="002408E7">
              <w:t xml:space="preserve"> for waivers</w:t>
            </w:r>
          </w:p>
        </w:tc>
      </w:tr>
      <w:tr w:rsidR="009C2A9B" w:rsidTr="009C2A9B">
        <w:tc>
          <w:tcPr>
            <w:tcW w:w="378" w:type="dxa"/>
            <w:vAlign w:val="center"/>
          </w:tcPr>
          <w:p w:rsidR="009C2A9B" w:rsidRPr="002408E7" w:rsidRDefault="009C2A9B" w:rsidP="009C2A9B">
            <w:r w:rsidRPr="002408E7">
              <w:t>13</w:t>
            </w:r>
          </w:p>
        </w:tc>
        <w:tc>
          <w:tcPr>
            <w:tcW w:w="4950" w:type="dxa"/>
            <w:vAlign w:val="center"/>
          </w:tcPr>
          <w:p w:rsidR="009C2A9B" w:rsidRPr="002408E7" w:rsidRDefault="009C2A9B" w:rsidP="009C2A9B">
            <w:r w:rsidRPr="002408E7">
              <w:t>(Same)</w:t>
            </w:r>
          </w:p>
        </w:tc>
        <w:tc>
          <w:tcPr>
            <w:tcW w:w="4332" w:type="dxa"/>
            <w:vAlign w:val="center"/>
          </w:tcPr>
          <w:p w:rsidR="009C2A9B" w:rsidRPr="002408E7" w:rsidRDefault="009C2A9B" w:rsidP="009C2A9B">
            <w:r w:rsidRPr="002408E7">
              <w:t xml:space="preserve">Water line </w:t>
            </w:r>
            <w:r w:rsidRPr="00CE3B5A">
              <w:rPr>
                <w:b/>
              </w:rPr>
              <w:t>projects not meeting water/sewer separation must obtain exception</w:t>
            </w:r>
            <w:r w:rsidRPr="002408E7">
              <w:t xml:space="preserve"> to R309-550-7</w:t>
            </w:r>
          </w:p>
        </w:tc>
      </w:tr>
    </w:tbl>
    <w:p w:rsidR="0058654C" w:rsidRDefault="0058654C" w:rsidP="00CE3B5A">
      <w:pPr>
        <w:jc w:val="center"/>
        <w:rPr>
          <w:rFonts w:ascii="Arial Black" w:hAnsi="Arial Black"/>
          <w:sz w:val="28"/>
          <w:szCs w:val="28"/>
        </w:rPr>
      </w:pPr>
    </w:p>
    <w:sectPr w:rsidR="0058654C" w:rsidSect="009C2A9B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4B" w:rsidRDefault="00335C4B" w:rsidP="00335C4B">
      <w:r>
        <w:separator/>
      </w:r>
    </w:p>
  </w:endnote>
  <w:endnote w:type="continuationSeparator" w:id="0">
    <w:p w:rsidR="00335C4B" w:rsidRDefault="00335C4B" w:rsidP="0033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4B" w:rsidRPr="00CF5FEA" w:rsidRDefault="00335C4B">
    <w:pPr>
      <w:pStyle w:val="Footer"/>
      <w:rPr>
        <w:sz w:val="16"/>
        <w:szCs w:val="16"/>
      </w:rPr>
    </w:pPr>
    <w:r>
      <w:tab/>
    </w:r>
    <w:r>
      <w:tab/>
    </w:r>
    <w:r w:rsidR="00CF5FEA" w:rsidRPr="00CF5FEA">
      <w:rPr>
        <w:sz w:val="16"/>
        <w:szCs w:val="16"/>
      </w:rPr>
      <w:t>11/7</w:t>
    </w:r>
    <w:r w:rsidRPr="00CF5FEA">
      <w:rPr>
        <w:sz w:val="16"/>
        <w:szCs w:val="16"/>
      </w:rPr>
      <w:t>/2017</w:t>
    </w:r>
  </w:p>
  <w:p w:rsidR="00335C4B" w:rsidRPr="00335C4B" w:rsidRDefault="00335C4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4B" w:rsidRDefault="00335C4B" w:rsidP="00335C4B">
      <w:r>
        <w:separator/>
      </w:r>
    </w:p>
  </w:footnote>
  <w:footnote w:type="continuationSeparator" w:id="0">
    <w:p w:rsidR="00335C4B" w:rsidRDefault="00335C4B" w:rsidP="0033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66" w:rsidRDefault="00B34742">
    <w:pPr>
      <w:pStyle w:val="Header"/>
    </w:pPr>
    <w:r>
      <w:rPr>
        <w:noProof/>
      </w:rPr>
      <w:drawing>
        <wp:inline distT="0" distB="0" distL="0" distR="0" wp14:anchorId="474A7269" wp14:editId="0E13FFD6">
          <wp:extent cx="2609085" cy="914400"/>
          <wp:effectExtent l="0" t="0" r="1270" b="0"/>
          <wp:docPr id="2" name="Picture 2" descr="https://deqinnerweb.utah.gov/wp-content/themes/innerweb/img/branding/dw/print-4-inch-dw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eqinnerweb.utah.gov/wp-content/themes/innerweb/img/branding/dw/print-4-inch-dw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0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0DB"/>
    <w:multiLevelType w:val="hybridMultilevel"/>
    <w:tmpl w:val="A372D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763"/>
    <w:multiLevelType w:val="hybridMultilevel"/>
    <w:tmpl w:val="02AC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802B0"/>
    <w:multiLevelType w:val="hybridMultilevel"/>
    <w:tmpl w:val="A372D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BC"/>
    <w:rsid w:val="000152FE"/>
    <w:rsid w:val="00047E88"/>
    <w:rsid w:val="000A76D5"/>
    <w:rsid w:val="000B721B"/>
    <w:rsid w:val="000F75ED"/>
    <w:rsid w:val="00121593"/>
    <w:rsid w:val="001237EC"/>
    <w:rsid w:val="00142045"/>
    <w:rsid w:val="00146487"/>
    <w:rsid w:val="00151964"/>
    <w:rsid w:val="001A2FEE"/>
    <w:rsid w:val="002408E7"/>
    <w:rsid w:val="00273ED0"/>
    <w:rsid w:val="002951E7"/>
    <w:rsid w:val="002B19FC"/>
    <w:rsid w:val="002D5D10"/>
    <w:rsid w:val="00335C4B"/>
    <w:rsid w:val="00345C90"/>
    <w:rsid w:val="003750ED"/>
    <w:rsid w:val="003856C7"/>
    <w:rsid w:val="004353A0"/>
    <w:rsid w:val="004642EA"/>
    <w:rsid w:val="00475DFD"/>
    <w:rsid w:val="004D20DA"/>
    <w:rsid w:val="00526DC0"/>
    <w:rsid w:val="0058654C"/>
    <w:rsid w:val="005C7493"/>
    <w:rsid w:val="005E6500"/>
    <w:rsid w:val="006B32CD"/>
    <w:rsid w:val="006D1205"/>
    <w:rsid w:val="007646D1"/>
    <w:rsid w:val="007A55A6"/>
    <w:rsid w:val="007C6B0B"/>
    <w:rsid w:val="00800D22"/>
    <w:rsid w:val="00836030"/>
    <w:rsid w:val="00852196"/>
    <w:rsid w:val="00863C4B"/>
    <w:rsid w:val="00875B9C"/>
    <w:rsid w:val="008971E2"/>
    <w:rsid w:val="008B7A86"/>
    <w:rsid w:val="008F24A3"/>
    <w:rsid w:val="0091711D"/>
    <w:rsid w:val="00993E82"/>
    <w:rsid w:val="009C2A9B"/>
    <w:rsid w:val="009E101D"/>
    <w:rsid w:val="00A0411E"/>
    <w:rsid w:val="00A21C12"/>
    <w:rsid w:val="00A64566"/>
    <w:rsid w:val="00A74EA3"/>
    <w:rsid w:val="00AD316E"/>
    <w:rsid w:val="00AD502B"/>
    <w:rsid w:val="00B34742"/>
    <w:rsid w:val="00B611DE"/>
    <w:rsid w:val="00B80E92"/>
    <w:rsid w:val="00BE1C68"/>
    <w:rsid w:val="00C54EC9"/>
    <w:rsid w:val="00C65996"/>
    <w:rsid w:val="00C92B43"/>
    <w:rsid w:val="00CE3B5A"/>
    <w:rsid w:val="00CF2816"/>
    <w:rsid w:val="00CF5FEA"/>
    <w:rsid w:val="00D03FA5"/>
    <w:rsid w:val="00D1177E"/>
    <w:rsid w:val="00D11D4C"/>
    <w:rsid w:val="00D47FBC"/>
    <w:rsid w:val="00D74F2B"/>
    <w:rsid w:val="00DA6310"/>
    <w:rsid w:val="00DE1485"/>
    <w:rsid w:val="00F429C6"/>
    <w:rsid w:val="00F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1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 Char Char Char Char,Heading 2 Char Char Char Char1,Heading 2 Char Char Char Char2,Heading 2 Char Char Char Char3,Heading 2 Char Char Char Char4,Heading 2 Char Char Char Char5,Heading 2 Char Char Char Char6"/>
    <w:basedOn w:val="Normal"/>
    <w:next w:val="Normal"/>
    <w:link w:val="Heading2Char"/>
    <w:uiPriority w:val="9"/>
    <w:qFormat/>
    <w:rsid w:val="00AD316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aliases w:val="Heading 3 Char2 Char Char Char,Heading 3 Char2 Char Char Char1,Heading 3 Char2 Char Char Char2,Heading 3 Char2 Char Char Char3,Heading 3 Char2 Char Char Char4,Heading 3 Char2 Char Char Char5,Heading 3 Char2 Char Char Char6"/>
    <w:basedOn w:val="Normal"/>
    <w:next w:val="Normal"/>
    <w:link w:val="Heading3Char"/>
    <w:uiPriority w:val="9"/>
    <w:qFormat/>
    <w:rsid w:val="00AD316E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316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rsid w:val="007A55A6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316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D316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5A6"/>
    <w:pPr>
      <w:keepLines/>
      <w:spacing w:before="480" w:after="0"/>
      <w:outlineLvl w:val="9"/>
    </w:pPr>
    <w:rPr>
      <w:rFonts w:cstheme="majorBidi"/>
      <w:color w:val="365F91" w:themeColor="accent1" w:themeShade="BF"/>
      <w:kern w:val="0"/>
      <w:sz w:val="28"/>
      <w:szCs w:val="28"/>
    </w:rPr>
  </w:style>
  <w:style w:type="character" w:customStyle="1" w:styleId="Heading2Char">
    <w:name w:val="Heading 2 Char"/>
    <w:aliases w:val="Heading 2 Char Char Char Char Char,Heading 2 Char Char Char Char1 Char,Heading 2 Char Char Char Char2 Char,Heading 2 Char Char Char Char3 Char,Heading 2 Char Char Char Char4 Char,Heading 2 Char Char Char Char5 Char"/>
    <w:basedOn w:val="DefaultParagraphFont"/>
    <w:link w:val="Heading2"/>
    <w:uiPriority w:val="9"/>
    <w:rsid w:val="00AD316E"/>
    <w:rPr>
      <w:rFonts w:ascii="Arial" w:hAnsi="Arial"/>
      <w:b/>
      <w:i/>
      <w:sz w:val="28"/>
    </w:rPr>
  </w:style>
  <w:style w:type="character" w:customStyle="1" w:styleId="Heading3Char">
    <w:name w:val="Heading 3 Char"/>
    <w:aliases w:val="Heading 3 Char2 Char Char Char Char,Heading 3 Char2 Char Char Char1 Char,Heading 3 Char2 Char Char Char2 Char,Heading 3 Char2 Char Char Char3 Char,Heading 3 Char2 Char Char Char4 Char,Heading 3 Char2 Char Char Char5 Char"/>
    <w:basedOn w:val="DefaultParagraphFont"/>
    <w:link w:val="Heading3"/>
    <w:uiPriority w:val="9"/>
    <w:rsid w:val="00AD316E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316E"/>
    <w:rPr>
      <w:rFonts w:asciiTheme="minorHAnsi" w:eastAsiaTheme="minorEastAsia" w:hAnsiTheme="minorHAns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D316E"/>
    <w:rPr>
      <w:rFonts w:cs="Times New Roman"/>
      <w:b/>
    </w:rPr>
  </w:style>
  <w:style w:type="table" w:styleId="TableGrid">
    <w:name w:val="Table Grid"/>
    <w:basedOn w:val="TableNormal"/>
    <w:uiPriority w:val="59"/>
    <w:rsid w:val="0034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4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1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 Char Char Char Char,Heading 2 Char Char Char Char1,Heading 2 Char Char Char Char2,Heading 2 Char Char Char Char3,Heading 2 Char Char Char Char4,Heading 2 Char Char Char Char5,Heading 2 Char Char Char Char6"/>
    <w:basedOn w:val="Normal"/>
    <w:next w:val="Normal"/>
    <w:link w:val="Heading2Char"/>
    <w:uiPriority w:val="9"/>
    <w:qFormat/>
    <w:rsid w:val="00AD316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aliases w:val="Heading 3 Char2 Char Char Char,Heading 3 Char2 Char Char Char1,Heading 3 Char2 Char Char Char2,Heading 3 Char2 Char Char Char3,Heading 3 Char2 Char Char Char4,Heading 3 Char2 Char Char Char5,Heading 3 Char2 Char Char Char6"/>
    <w:basedOn w:val="Normal"/>
    <w:next w:val="Normal"/>
    <w:link w:val="Heading3Char"/>
    <w:uiPriority w:val="9"/>
    <w:qFormat/>
    <w:rsid w:val="00AD316E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316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rsid w:val="007A55A6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316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D316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5A6"/>
    <w:pPr>
      <w:keepLines/>
      <w:spacing w:before="480" w:after="0"/>
      <w:outlineLvl w:val="9"/>
    </w:pPr>
    <w:rPr>
      <w:rFonts w:cstheme="majorBidi"/>
      <w:color w:val="365F91" w:themeColor="accent1" w:themeShade="BF"/>
      <w:kern w:val="0"/>
      <w:sz w:val="28"/>
      <w:szCs w:val="28"/>
    </w:rPr>
  </w:style>
  <w:style w:type="character" w:customStyle="1" w:styleId="Heading2Char">
    <w:name w:val="Heading 2 Char"/>
    <w:aliases w:val="Heading 2 Char Char Char Char Char,Heading 2 Char Char Char Char1 Char,Heading 2 Char Char Char Char2 Char,Heading 2 Char Char Char Char3 Char,Heading 2 Char Char Char Char4 Char,Heading 2 Char Char Char Char5 Char"/>
    <w:basedOn w:val="DefaultParagraphFont"/>
    <w:link w:val="Heading2"/>
    <w:uiPriority w:val="9"/>
    <w:rsid w:val="00AD316E"/>
    <w:rPr>
      <w:rFonts w:ascii="Arial" w:hAnsi="Arial"/>
      <w:b/>
      <w:i/>
      <w:sz w:val="28"/>
    </w:rPr>
  </w:style>
  <w:style w:type="character" w:customStyle="1" w:styleId="Heading3Char">
    <w:name w:val="Heading 3 Char"/>
    <w:aliases w:val="Heading 3 Char2 Char Char Char Char,Heading 3 Char2 Char Char Char1 Char,Heading 3 Char2 Char Char Char2 Char,Heading 3 Char2 Char Char Char3 Char,Heading 3 Char2 Char Char Char4 Char,Heading 3 Char2 Char Char Char5 Char"/>
    <w:basedOn w:val="DefaultParagraphFont"/>
    <w:link w:val="Heading3"/>
    <w:uiPriority w:val="9"/>
    <w:rsid w:val="00AD316E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316E"/>
    <w:rPr>
      <w:rFonts w:asciiTheme="minorHAnsi" w:eastAsiaTheme="minorEastAsia" w:hAnsiTheme="minorHAns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D316E"/>
    <w:rPr>
      <w:rFonts w:cs="Times New Roman"/>
      <w:b/>
    </w:rPr>
  </w:style>
  <w:style w:type="table" w:styleId="TableGrid">
    <w:name w:val="Table Grid"/>
    <w:basedOn w:val="TableNormal"/>
    <w:uiPriority w:val="59"/>
    <w:rsid w:val="0034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4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5701-D41D-4450-A588-C109BED4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Clark</dc:creator>
  <cp:lastModifiedBy>Bernie Clark</cp:lastModifiedBy>
  <cp:revision>2</cp:revision>
  <dcterms:created xsi:type="dcterms:W3CDTF">2017-11-08T14:18:00Z</dcterms:created>
  <dcterms:modified xsi:type="dcterms:W3CDTF">2017-11-08T14:18:00Z</dcterms:modified>
</cp:coreProperties>
</file>